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45" w:rsidRPr="00950B45" w:rsidRDefault="00950B45" w:rsidP="00950B45">
      <w:pPr>
        <w:shd w:val="clear" w:color="auto" w:fill="FFFFFF"/>
        <w:spacing w:before="300" w:line="240" w:lineRule="auto"/>
        <w:outlineLvl w:val="1"/>
        <w:rPr>
          <w:rFonts w:ascii="Helvetica" w:eastAsia="Times New Roman" w:hAnsi="Helvetica" w:cs="Helvetica"/>
          <w:caps/>
          <w:color w:val="0389D1"/>
          <w:spacing w:val="-8"/>
          <w:sz w:val="45"/>
          <w:szCs w:val="45"/>
          <w:lang w:eastAsia="es-AR"/>
        </w:rPr>
      </w:pPr>
      <w:r w:rsidRPr="00950B45">
        <w:rPr>
          <w:rFonts w:ascii="Helvetica" w:eastAsia="Times New Roman" w:hAnsi="Helvetica" w:cs="Helvetica"/>
          <w:caps/>
          <w:color w:val="0389D1"/>
          <w:spacing w:val="-8"/>
          <w:sz w:val="45"/>
          <w:szCs w:val="45"/>
          <w:lang w:eastAsia="es-AR"/>
        </w:rPr>
        <w:t>DECRETO 230 2000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  <w:t>Síntesis: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aps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aps/>
          <w:color w:val="333333"/>
          <w:sz w:val="21"/>
          <w:szCs w:val="21"/>
          <w:lang w:eastAsia="es-AR"/>
        </w:rPr>
        <w:t>APRUEBA REGLAMENTO - REGISTRO DE DEUDORES -AS ALIMENTARIOS -AS MOROSOS-AS REGLAMENTA EL REGISTRO DE DEUDORES-AS  ALIMENTARIOS-AS MOROSOS-AS - SUBSECRETARÍA DE LEGISLACIÓN Y JUSTICIA - SECRETARÍA DE GOBIERNO -  FUNCIONES - CERTIFICACIONES - INSTITUCIONES U ORGANISMOS PÚBLICOS - PERSONAS OBLIGADAS - PRESENTACIÓN - PROCEDIMIENTO - ASIENTOS REGISTRALES - RECTIFICACIONES - EXTINCIÓN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  <w:t>Publicación: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27/03/2000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  <w:t>Sanción: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07/03/2000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999999"/>
          <w:sz w:val="21"/>
          <w:szCs w:val="21"/>
          <w:lang w:eastAsia="es-AR"/>
        </w:rPr>
        <w:t>Organismo: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GOBIERNO DE LA CIUDAD AUTÓNOMA DE BUENOS AIRES</w:t>
      </w:r>
    </w:p>
    <w:p w:rsidR="00950B45" w:rsidRPr="00950B45" w:rsidRDefault="00950B45" w:rsidP="00950B45">
      <w:pPr>
        <w:spacing w:before="345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align="center" o:hrstd="t" o:hrnoshade="t" o:hr="t" fillcolor="#333" stroked="f"/>
        </w:pict>
      </w:r>
    </w:p>
    <w:p w:rsidR="00950B45" w:rsidRPr="00950B45" w:rsidRDefault="00950B45" w:rsidP="00950B45">
      <w:pPr>
        <w:shd w:val="clear" w:color="auto" w:fill="F5F5F5"/>
        <w:spacing w:after="0" w:line="240" w:lineRule="auto"/>
        <w:outlineLvl w:val="3"/>
        <w:rPr>
          <w:rFonts w:ascii="Helvetica" w:eastAsia="Times New Roman" w:hAnsi="Helvetica" w:cs="Helvetica"/>
          <w:color w:val="333333"/>
          <w:spacing w:val="-5"/>
          <w:sz w:val="24"/>
          <w:szCs w:val="24"/>
          <w:lang w:eastAsia="es-AR"/>
        </w:rPr>
      </w:pPr>
      <w:hyperlink r:id="rId5" w:anchor="collapseFive" w:history="1">
        <w:r w:rsidRPr="00950B45">
          <w:rPr>
            <w:rFonts w:ascii="Helvetica" w:eastAsia="Times New Roman" w:hAnsi="Helvetica" w:cs="Helvetica"/>
            <w:color w:val="333333"/>
            <w:spacing w:val="-5"/>
            <w:sz w:val="24"/>
            <w:szCs w:val="24"/>
            <w:lang w:eastAsia="es-AR"/>
          </w:rPr>
          <w:t>Texto original</w:t>
        </w:r>
      </w:hyperlink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Visto el Expediente N° 13.959/2000 y la sanción de la Ley N° 269 (B.O. N° 852), y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CONSIDERANDO: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Que por la mencionada Ley se crea en el ámbito de la Ciudad Autónoma de Buenos Aires el Registro de Deudores/as Alimentarios/as Morosos/as, que funcionará en el área de la Subsecretaría de Legislación y Justicia del Gobierno de la Ciudad;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Que dicha Ley determina las funciones del Registro mencionado y en su articulado hace mención a las Instituciones u Organismos Públicos que deben exigir las certificaciones que expida dicho Registro;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Que, asimismo, se determinan en la ley las personas obligadas a la presentación de tales certificaciones y los trámites para los que estas últimas deben ser requeridas;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Que a los fines del funcionamiento y efectos del mencionado Registro resulta necesario dictar una reglamentación que determine la organización y funciones del Registro creado;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Por ello, en uso de las facultades legales que le son propias,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EL JEFE DE GOBIERNO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DE LA CIUDAD DE BUENOS AIRES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DECRETA: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Artículo 1° -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Apruébase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el Reglamento del Registro de Deudores/as Alimentarios/as Morosos/as de acuerdo con el Anexo I el que a todos sus efectos forma parte integrante del presente.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Art. 2° -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Déjase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establecido que el Registro de Deudores/as Alimentarios/as Morosos/as funcionará en la órbita de la Subsecretaría de Legislación y Justicia, de la Secretaría de Gobierno.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Art. 3° - El presente Decreto será refrendado por los señores Secretarios de Gobierno y de Hacienda y Finanzas.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lastRenderedPageBreak/>
        <w:t xml:space="preserve">Art. 4° -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Dése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al Registro, publíquese en el Boletín Oficial de la Ciudad de Buenos Aires y para su conocimiento y demás fines pase a la Subsecretaría de Legislación y Justicia.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ANEXO 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FUNCIONES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Artículo 1° - El Registro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deDeudores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/as Alimentarios/as Morosos/as que funciona en el Área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laSubsecretaría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Legislación y Justicia de la Secretaría de Gobierno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laCiudad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Autónoma de Buenos Aires tendrá a su cargo: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Llevar un Registro Personal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deDeudores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/as Alimentarios/as Morosos/as de acuerdo a las prescripciones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laley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que se reglamenta.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Expedir las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certificacionesque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le sean requeridas.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2° - El Registro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seorganizará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sobre la base de folios personales destinando a cada persona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unoespecial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3° - La registración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deberárealizarse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mediante los documentos judiciales expedidos conforme se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determinaráen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la presente reglamentación.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II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 SU ORGANIZACIÓN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4° - A fin de cumplimentar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lasfunciones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asignadas el Registro se organizará de la siguiente forma: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1.- Responsable de Supervisión.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2.- Responsable de Inscripciones.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3.- Responsable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deCertificaciones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4.- Responsable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RegistroGeneral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Entradas, Salidas y Archivo.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5° - El responsable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laSupervisión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será un funcionario que deberá llenar los siguientes requisitos: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Poseer título de abogado/a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oescribano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/a con cuatro años como mínimo de ejercicio profesional.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Los demás requeridos para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elingreso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al plantel administrativo de la Ciudad Autónoma de Buenos Aires.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Sus funciones serán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compatiblescon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el ejercicio de las profesiones de abogado o escribano, con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limitaciónde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abstenerse de intervenir en causas de alimentos.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6° - El responsable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laSupervisión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tendrá las atribuciones y deberes que fijan las disposiciones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decarácter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general, las que especialmente se le asignan en este Reglamento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yresolverá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las cuestiones que se promuevan por aplicación de las normas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legalesy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reglamentarias y adoptará las disposiciones no previstas en 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presenteReglamento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para su mejor funcionamiento.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7° - Sin perjuicio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lasatribuciones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conferidas en el artículo precedente, compete específicamente: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lastRenderedPageBreak/>
        <w:t xml:space="preserve">a) Orientar la actividad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delOrganismo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emitir las instrucciones que sean convenientes para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prestacióndel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servicio.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Asignar tareas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yresponsabilidades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 sus agentes.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c) Para los supuestos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deextravío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destrucción total o parcial de los folios o asientos, 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inexactitudesde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éstos últimos, disponer de oficio o a petición de parte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corrección</w:t>
      </w:r>
      <w:proofErr w:type="gram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,reposición</w:t>
      </w:r>
      <w:proofErr w:type="spellEnd"/>
      <w:proofErr w:type="gram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o reconstrucción de los mismos.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Art. 8° - Responsable de Inscripciones: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El responsable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Inscripcionestendrá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 su cargo llevar el Registro de Deudores/as Alimentarios/as Morosos/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ascuya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inscripción sea requerida por el Poder Judicial conforme 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lasdisposiciones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del presente Reglamento.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Art. 9° - Responsable de Certificaciones: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El responsable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Certificacionestendrá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por funciones expedir las certificaciones de los Asientos del Registro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alas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personas físicas o jurídicas que así lo requieran.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10 - Responsable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delRegistro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Entradas, Salidas y Archivo: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El responsable del Registro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deEntradas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 Salidas y Archivo tendrá por funciones: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Encargarse de la mesa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generalde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entradas y salidas de los documentos cuya inscripción se requiera y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lascertificaciones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que a petición de parte se soliciten.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Asesorar al usuario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respectode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la documentación a presentar para las tramitaciones que se requieran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alOrganismo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III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 LAS DISPOSICIONESY RESOLUCIONES.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11 - En cumplimiento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susfunciones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el Responsable de la Supervisión del Registro dictará: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Disposiciones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técnicoregistrales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Resoluciones y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disposicionesadministrativas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c) Ordenes de servicio.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12 - Las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disposicionestécnico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registrales serán dictadas para regular con carácter general,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lassituaciones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no previstas en este reglamento, y las que se hubieren delegado.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13 - Las resoluciones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ydisposiciones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administrativas son las que tienen por objeto la decisión,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enúltima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instancia, de carácter administrativo, que hacen a la regulación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yfuncionamiento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del Registro.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14 - Las órdenes deservicio, serán las instrucciones dadas al personal para facilitar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lainterpretación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aplicación de las normas de jerarquía superior.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IV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 LAS INSCRIPCIONES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15 - Las inscripciones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seproducirán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únicamente por orden judicial. El documento que la contenga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deberáingresar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por duplicado y estar firmado por el Juez que decretó la </w:t>
      </w: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lastRenderedPageBreak/>
        <w:t xml:space="preserve">medida;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parael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caso que firmara el Secretario, deberá transcribirse el auto que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decretó.En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ambos casos la firma de quién suscribe el documento deberá estar legalizada.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16 - Para que puedan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serregistrados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los documentos judiciales deberá indicarse: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a) Apellido/s y Nombre/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scompletos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 no admitiéndose iniciales.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Domicilio. Si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fueredesconocido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 hará constar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c) Número de Libreta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deEnrolamiento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Libreta Cívica o Documento Nacional de Identidad para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losargentinos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Para los extranjeros residentes en el país, el Número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DocumentoNacional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Identidad, o en su defecto, el Número de la Cédula de Identidad,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oen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su caso el del Pasaporte. Para los extranjeros no residentes en el país,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elNúmero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Documento que corresponda, según el país de su residencia y/o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deorigen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d) Nombre y Apellido de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Madre</w:t>
      </w:r>
      <w:proofErr w:type="gram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,si</w:t>
      </w:r>
      <w:proofErr w:type="spellEnd"/>
      <w:proofErr w:type="gram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fuere desconocido se hará constar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e) Nombre y Apellido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Padre</w:t>
      </w:r>
      <w:proofErr w:type="gram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,si</w:t>
      </w:r>
      <w:proofErr w:type="spellEnd"/>
      <w:proofErr w:type="gram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fuere desconocido se hará constar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f) Estado civil, y en caso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sercasado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nupcias, nombre y apellido del cónyuge, si fuere desconocido se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haráconstar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g) Nacionalidad y profesión,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sifuere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desconocido se hará constar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h) Fecha de nacimiento, si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fueredesconocido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 hará constar esa circunstancia.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V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PROCEDIMIENTO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17 - El Registro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examinarála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legalidad de las formas de los documentos cuya registración se solicite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yprocederá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Registrar el documento, si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seencontrare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extendido con todos los recaudos establecidos en las leyes y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elpresente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Reglamento.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Rechazarlo si el documento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notuviera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los requisitos previstos en la Ley y en este reglamento.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VI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 LOS ASIENTOSREGISTRALES, FORMAS Y EFECTOS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Art. 18 - Registración: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Toda registración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deberácontener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a) Fecha del asiento.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Nombre/s, apellido/s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yDocumento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Identidad del deudor/a alimentario/a moroso/a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inscribir.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c) Juzgado, Secretaría y autos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enque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 ordenó la inscripción.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d) Los demás datos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personalesconocidos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ó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la constancia de su desconocimiento.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e) Firma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Funcionariohabilitado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Art. 19 - Efectos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lastRenderedPageBreak/>
        <w:t xml:space="preserve">Registrado un documento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judicialrespecto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una persona, se certificará tal circunstancia a quien lo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requiera</w:t>
      </w:r>
      <w:proofErr w:type="gram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,y</w:t>
      </w:r>
      <w:proofErr w:type="spellEnd"/>
      <w:proofErr w:type="gram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producirá los efectos establecidos por la Ley que por esta norma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sereglamenta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Las registraciones tendrán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efectoa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partir de la fecha del ingreso al Registro del documento que lo ordena.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VII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RECTIFICACIONES DEASIENTOS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20 - Se entenderá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porinexactitud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registral, todo desacuerdo que en orden a los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documentossusceptibles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registración exista entre el registrado y la realidad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jurídicaextra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registral.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21 - Cuando la inexactitud ala que se refiere el artículo anterior provenga de un error u omisión en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eldocumento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se rectificará siempre que se acompañe a la solicitud respectiva,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otrodocumento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la misma naturaleza que el anterior.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22 - Cuando el error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fueradel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asiento, se rectificará con el ingreso del documento que lo provocó.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VIII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EXTINCIÓN DE LAINSCRIPCIÓN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23 - Las registraciones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seextinguirán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Cuando sea ordenado por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laautoridad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que dispuso la medida, en este caso la firma de quien suscribe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eldocumento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deberá estar legalizada.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Cuando se declare la nulidad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ofalsedad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del documento que la provocó en la causa judicial de la cual emana.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24 - La cancelación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todaregistración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deberá contener: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a) Documento en virtud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cualse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haya cancelado, fecha del mismo y del asiento.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b) Determinación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Juzgado</w:t>
      </w:r>
      <w:proofErr w:type="gram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,Secretaría</w:t>
      </w:r>
      <w:proofErr w:type="spellEnd"/>
      <w:proofErr w:type="gram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autos que lo ordene.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c) Firma del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Funcionariohabilitado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25 - Quedarán canceladas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deoficio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en forma automática y por el mero vencimiento del término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cincoaños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, contado desde la fecha del asiento, si antes no fueran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reinscriptas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Transcurrido el plazo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mencionadolas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registraciones se tendrán por inexistentes al certificar.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CAPÍTULO IX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PUBLICIDAD REGISTRAL.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CERTIFICACIONES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26 - El Registro es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público.Todo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aquel que tenga interés en averiguar la situación de morosidad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alimentariade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determinada persona podrá solicitar la certificación correspondiente.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lastRenderedPageBreak/>
        <w:t xml:space="preserve">Art. 27 - Todas las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dependenciasdel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Gobierno de la Ciudad Autónoma de Buenos Aires, mediante el uso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unaclave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tendrán acceso a la base de datos del Registro a través de una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redinformática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que se habilitará a tal efecto.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28 - La certificación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seráexpedida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dentro de las 48 horas de su solicitud por escrito y el plazo de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suvalidez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será de 60 días corridos, contados desde las cero hora de la fecha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desu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expedición.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29 - La certificación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podráser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suplida por la constancia informática incorporada a la base de datos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delRegistro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certificada por la autoridad responsable del mismo o de la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dependenciahabilitada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para acceder a la base de datos del Registro.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30 - El registrador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deberáhacer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constar en el certificado que expida, los datos que resulten de su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basede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datos y asientos practicados, bajo la responsabilidad de su firma.</w:t>
      </w:r>
    </w:p>
    <w:p w:rsidR="00950B45" w:rsidRPr="00950B45" w:rsidRDefault="00950B45" w:rsidP="00950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Art. 31 - La guarda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yconservación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la documentación e información contenida en el Registro,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estaráa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cargo del Responsable de Supervisión, quedando facultado para emplear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losmedios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técnicos más aptos a los efectos de registrar, ordenar,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reproducir,informar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conservar las constancias registrales, garantizando la seguridad </w:t>
      </w:r>
      <w:proofErr w:type="spellStart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delservicio</w:t>
      </w:r>
      <w:proofErr w:type="spellEnd"/>
      <w:r w:rsidRPr="00950B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.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Calibri" w:eastAsia="Times New Roman" w:hAnsi="Calibri" w:cs="Calibri"/>
          <w:color w:val="333333"/>
          <w:lang w:eastAsia="es-AR"/>
        </w:rPr>
        <w:t xml:space="preserve">Art. 32 - El Gobierno de la Ciudad Autónoma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deBuenos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 Aires implementará, a partir de los 60 días de la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presentereglamentación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, publicidad sobre la constitución del Registro y de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susfunciones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 en los medios de comunicación con difusión dentro del ámbito de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laCiudad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, invitando a las instituciones privadas y empresas con sede y/o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quedesarrollen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 su actividad en ella, a requerir informes al Registro, </w:t>
      </w:r>
      <w:proofErr w:type="spellStart"/>
      <w:r w:rsidRPr="00950B45">
        <w:rPr>
          <w:rFonts w:ascii="Calibri" w:eastAsia="Times New Roman" w:hAnsi="Calibri" w:cs="Calibri"/>
          <w:color w:val="333333"/>
          <w:lang w:eastAsia="es-AR"/>
        </w:rPr>
        <w:t>destacandoel</w:t>
      </w:r>
      <w:proofErr w:type="spellEnd"/>
      <w:r w:rsidRPr="00950B45">
        <w:rPr>
          <w:rFonts w:ascii="Calibri" w:eastAsia="Times New Roman" w:hAnsi="Calibri" w:cs="Calibri"/>
          <w:color w:val="333333"/>
          <w:lang w:eastAsia="es-AR"/>
        </w:rPr>
        <w:t xml:space="preserve"> valor ético y la trascendencia social del cumplimiento</w:t>
      </w:r>
    </w:p>
    <w:p w:rsidR="00950B45" w:rsidRPr="00950B45" w:rsidRDefault="00950B45" w:rsidP="00950B45">
      <w:pPr>
        <w:shd w:val="clear" w:color="auto" w:fill="FFFFFF"/>
        <w:spacing w:before="345"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pict>
          <v:rect id="_x0000_i1028" style="width:0;height:0" o:hralign="center" o:hrstd="t" o:hr="t" fillcolor="#a0a0a0" stroked="f"/>
        </w:pict>
      </w:r>
    </w:p>
    <w:p w:rsidR="00950B45" w:rsidRPr="00950B45" w:rsidRDefault="00950B45" w:rsidP="00950B45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pacing w:val="-8"/>
          <w:sz w:val="45"/>
          <w:szCs w:val="45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pacing w:val="-8"/>
          <w:sz w:val="45"/>
          <w:szCs w:val="45"/>
          <w:lang w:eastAsia="es-AR"/>
        </w:rPr>
        <w:t>ANEXOS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ANEXO I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FUNCIONES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Artículo 1° - El Registro de Deudores/as Alimentarios/as Morosos/as que funciona en el Área de la Subsecretaría de Legislación y Justicia de la Secretaría de Gobierno de la Ciudad Autónoma de Buenos Aires tendrá a su cargo: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Llevar un Registro Personal de Deudores/as Alimentarios/as Morosos/as de acuerdo a las prescripciones de la ley que se reglamenta.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Expedir las certificaciones que le sean requeridas.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2° - El Registro se organizará sobre la base de folios personales destinando a cada persona uno especial.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3° - La registración deberá realizarse mediante los documentos judiciales expedidos conforme se determinará en la presente reglamentación.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II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DE SU ORGANIZACIÓN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lastRenderedPageBreak/>
        <w:t>Art. 4° - A fin de cumplimentar las funciones asignadas el Registro se organizará de la siguiente forma: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1.- Responsable de Supervisión.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2.- Responsable de Inscripciones.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3.- Responsable de Certificaciones.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4.- Responsable del Registro General de Entradas, Salidas y Archivo.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5° - El responsable de la Supervisión será un funcionario que deberá llenar los siguientes requisitos: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Poseer título de abogado/a o escribano/a con cuatro años como mínimo de ejercicio profesional.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Los demás requeridos para el ingreso al plantel administrativo de la Ciudad Autónoma de Buenos Aires.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Sus funciones serán compatibles con el ejercicio de las profesiones de abogado o escribano, con la limitación de abstenerse de intervenir en causas de alimentos.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6° - El responsable de la Supervisión tendrá las atribuciones y deberes que fijan las disposiciones de carácter general, las que especialmente se le asignan en este Reglamento y resolverá las cuestiones que se promuevan por aplicación de las normas legales y reglamentarias y adoptará las disposiciones no previstas en el presente Reglamento para su mejor funcionamiento.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7° - Sin perjuicio de las atribuciones conferidas en el artículo precedente, compete específicamente: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Orientar la actividad del Organismo y emitir las instrucciones que sean convenientes para la prestación del servicio.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Asignar tareas y responsabilidades a sus agentes.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c) Para los supuestos de extravío, destrucción total o parcial de los folios o asientos, o inexactitudes de éstos últimos, disponer de oficio o a petición de parte la corrección, reposición o reconstrucción de los mismos.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8° - Responsable de Inscripciones: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El responsable de Inscripciones tendrá a su cargo llevar el Registro de Deudores/as Alimentarios/as Morosos/as cuya inscripción sea requerida por el Poder Judicial conforme a las disposiciones del presente Reglamento.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9° - Responsable de Certificaciones: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El responsable de Certificaciones tendrá por funciones expedir las certificaciones de los Asientos del Registro a las personas físicas o jurídicas que así lo requieran.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10 - Responsable del Registro de Entradas, Salidas y Archivo: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El responsable del Registro de Entradas, Salidas y Archivo tendrá por funciones: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Encargarse de la mesa general de entradas y salidas de los documentos cuya inscripción se requiera y de las certificaciones que a petición de parte se soliciten.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Asesorar al usuario respecto de la documentación a presentar para las tramitaciones que se requieran al Organismo.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III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DE LAS DISPOSICIONES Y RESOLUCIONES.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 xml:space="preserve">Art. 11 - En cumplimiento de sus funciones el Responsable de la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Supervición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del Registro dictará: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Disposiciones técnico registrales.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Resoluciones y disposiciones administrativas.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lastRenderedPageBreak/>
        <w:t>c) Ordenes de servicio.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12 - Las disposiciones técnico registrales serán dictadas para regular con carácter general, las situaciones no previstas en este reglamento, y las que se hubieren delegado.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13 - Las resoluciones y disposiciones administrativas son las que tienen por objeto la decisión, en última instancia, de carácter administrativo, que hacen a la regulación y funcionamiento del Registro.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14 - Las órdenes de servicio, serán las instrucciones dadas al personal para facilitar la interpretación y aplicación de las normas de jerarquía superior.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IV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DE LAS INSCRIPCIONES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15 - Las inscripciones se producirán únicamente por orden judicial. El documento que la contenga deberá ingresar por duplicado y estar firmado por el Juez que decretó la medida; para el caso que firmara el Secretario, deberá transcribirse el auto que la decretó. En ambos casos la firma de quién suscribe el documento deberá estar legalizada.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16 - Para que puedan ser registrados los documentos judiciales deberá indicarse: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Apellido/s y Nombre/s completos, no admitiéndose iniciales.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Domicilio. Si fuere desconocido se hará constar esa circunstancia.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c) Número de Libreta de Enrolamiento, Libreta Cívica o Documento Nacional de Identidad para los argentinos, Para los extranjeros residentes en el país, el Número de Documento Nacional de Identidad, o en su defecto, el Número de la Cédula de Identidad, o en su caso el del Pasaporte. Para los extranjeros no residentes en el país, el Número de Documento que corresponda, según el país de su residencia y/o de origen.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d) Nombre y Apellido de la Madre, si fuere desconocido se hará constar esa circunstancia.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e) Nombre y Apellido del Padre, si fuere desconocido se hará constar esa circunstancia.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f) Estado civil, y en caso de ser casado, nupcias, nombre y apellido del cónyuge, si fuere desconocido se hará constar esa circunstancia.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g) Nacionalidad y profesión, si fuere desconocido se hará constar esa circunstancia.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h) Fecha de nacimiento, si fuere desconocido se hará constar esa circunstancia.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V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PROCEDIMIENTO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17 - El Registro examinará la legalidad de las formas de los documentos cuya registración se solicite y procederá a: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Registrar el documento, si se encontrare extendido con todos los recaudos establecidos en las leyes y el presente Reglamento.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Rechazarlo si el documento no tuviera los requisitos previstos en la Ley y en este reglamento.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VI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DE LOS ASIENTOS REGISTRALES, FORMAS Y EFECTOS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18 - Registración: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Toda registración deberá contener: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Fecha del asiento.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 xml:space="preserve">b) Nombre/s, apellido/s y Documento de Identidad del deudor/a alimentario/a moroso/a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a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inscribir.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c) Juzgado, Secretaría y autos en que se ordenó la inscripción.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lastRenderedPageBreak/>
        <w:t xml:space="preserve">d) Los demás datos personales conocidos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ó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 xml:space="preserve"> la constancia de su desconocimiento.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e) Firma del Funcionario habilitado.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19 - Efectos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Registrado un documento judicial respecto de una persona, se certificará tal circunstancia a quien lo requiera, y producirá los efectos establecidos por la Ley que por esta norma se reglamenta.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Las registraciones tendrán efecto a partir de la fecha del ingreso al Registro del documento que lo ordena.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VII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RECTIFICACIONES DE ASIENTOS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 xml:space="preserve">Art. 20 - Se entenderá por inexactitud registral, todo desacuerdo que en orden a los documentos susceptibles de registración exista entre el registrado y la realidad jurídica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extrarregistral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21 - Cuando la inexactitud a la que se refiere el artículo anterior provenga de un error u omisión en el documento, se rectificará siempre que se acompañe a la solicitud respectiva, otro documento de la misma naturaleza que el anterior.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22 - Cuando el error fuera del asiento, se rectificará con el ingreso del documento que lo provocó.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VIII</w:t>
      </w:r>
    </w:p>
    <w:p w:rsidR="00950B45" w:rsidRPr="00950B45" w:rsidRDefault="00950B45" w:rsidP="00950B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EXTINCIÓN DE LA INSCRIPCIÓN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23 - Las registraciones se extinguirán: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Cuando sea ordenado por la autoridad que dispuso la medida, en este caso la firma de quien suscribe el documento deberá estar legalizada.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Cuando se declare la nulidad o falsedad del documento que la provocó en la causa judicial de la cual emana.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24 - La cancelación de toda registración deberá contener: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a) Documento en virtud del cual se haya cancelado, fecha del mismo y del asiento.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b) Determinación del Juzgado, Secretaría y autos que lo ordene.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c) Firma del Funcionario habilitado.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 xml:space="preserve">Art. 25 - Quedarán canceladas de oficio, en forma automática y por el mero vencimiento del término de cinco años, contado desde la fecha del asiento, si antes no fueran </w:t>
      </w:r>
      <w:proofErr w:type="spellStart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reinscriptas</w:t>
      </w:r>
      <w:proofErr w:type="spellEnd"/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Transcurrido el plazo mencionado las registraciones se tendrán por inexistentes al certificar.</w:t>
      </w:r>
    </w:p>
    <w:p w:rsidR="00950B45" w:rsidRPr="00950B45" w:rsidRDefault="00950B45" w:rsidP="0095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t>CAPÍTULO IX</w:t>
      </w:r>
    </w:p>
    <w:p w:rsidR="00950B45" w:rsidRPr="00950B45" w:rsidRDefault="00950B45" w:rsidP="00950B4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</w:pP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PUBLICIDAD REGISTRAL.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CERTIFICACIONES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26 - El Registro es público. Todo aquel que tenga interés en averiguar la situación de morosidad alimentaria de determinada persona podrá solicitar la certificación correspondiente.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 xml:space="preserve">Art. 27 - Todas las dependencias del Gobierno de la Ciudad Autónoma de Buenos Aires, mediante el uso de una clave tendrán acceso a la base de datos del Registro a través de 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lastRenderedPageBreak/>
        <w:t>una red informática que se habilitará a tal efecto.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28 - La certificación será expedida dentro de las 48 horas de su solicitud por escrito y el plazo de su validez será de 60 días corridos, contados desde las cero hora de la fecha de su expedición.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29 - La certificación podrá ser suplida por la constancia informática incorporada a la base de datos del Registro certificada por la autoridad responsable del mismo o de la dependencia habilitada para acceder a la base de datos del Registro.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30 - El registrador deberá hacer constar en el certificado que expida, los datos que resulten de su base de datos y asientos practicados, bajo la responsabilidad de su firma.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31 - La guarda y conservación de la documentación e información contenida en el Registro, estará a cargo del Responsable de Supervisión, quedando facultado para emplear los medios técnicos más aptos a los efectos de registrar, ordenar, reproducir, informar y conservar las constancias registrales, garantizando la seguridad del servicio.</w:t>
      </w:r>
      <w:r w:rsidRPr="00950B45">
        <w:rPr>
          <w:rFonts w:ascii="Helvetica" w:eastAsia="Times New Roman" w:hAnsi="Helvetica" w:cs="Helvetica"/>
          <w:color w:val="333333"/>
          <w:sz w:val="21"/>
          <w:szCs w:val="21"/>
          <w:lang w:eastAsia="es-AR"/>
        </w:rPr>
        <w:br/>
        <w:t>Art. 32 - El Gobierno de la Ciudad Autónoma de Buenos Aires implementará, a partir de los 60 días de la presente reglamentación, publicidad sobre la constitución del Registro y de sus funciones en los medios de comunicación con difusión dentro del ámbito de la Ciudad, invitando a las instituciones privadas y empresas con sede y/o que desarrollen su actividad en ella, a requerir informes al Registro, destacando el valor ético y la trascendencia social del cumplimiento.</w:t>
      </w:r>
    </w:p>
    <w:p w:rsidR="00C1297F" w:rsidRPr="00950B45" w:rsidRDefault="00950B45" w:rsidP="00950B45">
      <w:bookmarkStart w:id="0" w:name="_GoBack"/>
      <w:bookmarkEnd w:id="0"/>
    </w:p>
    <w:sectPr w:rsidR="00C1297F" w:rsidRPr="0095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2DA5"/>
    <w:multiLevelType w:val="multilevel"/>
    <w:tmpl w:val="7BDAF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84BF9"/>
    <w:multiLevelType w:val="multilevel"/>
    <w:tmpl w:val="9932B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4744"/>
    <w:multiLevelType w:val="multilevel"/>
    <w:tmpl w:val="6EC26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E60B0"/>
    <w:multiLevelType w:val="multilevel"/>
    <w:tmpl w:val="1D9C4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0259B"/>
    <w:multiLevelType w:val="multilevel"/>
    <w:tmpl w:val="BE100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15C71"/>
    <w:multiLevelType w:val="multilevel"/>
    <w:tmpl w:val="651C3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0BFA"/>
    <w:multiLevelType w:val="multilevel"/>
    <w:tmpl w:val="2C6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94168"/>
    <w:multiLevelType w:val="multilevel"/>
    <w:tmpl w:val="03D8E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861C0"/>
    <w:multiLevelType w:val="multilevel"/>
    <w:tmpl w:val="B31CE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07105"/>
    <w:multiLevelType w:val="multilevel"/>
    <w:tmpl w:val="1BB8D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50A8F"/>
    <w:multiLevelType w:val="multilevel"/>
    <w:tmpl w:val="8820C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CC"/>
    <w:rsid w:val="001515B9"/>
    <w:rsid w:val="002B00F6"/>
    <w:rsid w:val="0040413E"/>
    <w:rsid w:val="00506DCC"/>
    <w:rsid w:val="009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9322AF-C19E-49F5-85DE-AA09D83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950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950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06D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CC"/>
    <w:rPr>
      <w:rFonts w:ascii="Tahoma" w:hAnsi="Tahoma" w:cs="Tahoma"/>
      <w:sz w:val="16"/>
      <w:szCs w:val="16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950B45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950B45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5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9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7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8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CCCCCC"/>
                <w:right w:val="none" w:sz="0" w:space="11" w:color="auto"/>
              </w:divBdr>
            </w:div>
            <w:div w:id="7163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48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etinoficial.buenosaires.gob.ar/normativaba/norma/6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3424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Miranda</dc:creator>
  <cp:lastModifiedBy>Sandra Miranda</cp:lastModifiedBy>
  <cp:revision>2</cp:revision>
  <dcterms:created xsi:type="dcterms:W3CDTF">2024-02-20T19:13:00Z</dcterms:created>
  <dcterms:modified xsi:type="dcterms:W3CDTF">2024-02-20T19:13:00Z</dcterms:modified>
</cp:coreProperties>
</file>