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BE109" w14:textId="298EFD9E" w:rsidR="00987C27" w:rsidRPr="00987C27" w:rsidRDefault="00987C27" w:rsidP="00987C27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987C27">
        <w:rPr>
          <w:rFonts w:ascii="Bookman Old Style" w:hAnsi="Bookman Old Style"/>
          <w:b/>
          <w:bCs/>
          <w:sz w:val="24"/>
          <w:szCs w:val="24"/>
        </w:rPr>
        <w:t>“</w:t>
      </w:r>
      <w:r w:rsidRPr="00987C27">
        <w:rPr>
          <w:rFonts w:ascii="Bookman Old Style" w:hAnsi="Bookman Old Style"/>
          <w:b/>
          <w:bCs/>
          <w:sz w:val="24"/>
          <w:szCs w:val="24"/>
        </w:rPr>
        <w:t xml:space="preserve">EGB S.R.L. CONTRA GOBIERNO DE LA CIUDAD AUTONOMA DE BUENOS AIRES SOBRE AMPARO </w:t>
      </w:r>
      <w:r w:rsidRPr="00987C27">
        <w:rPr>
          <w:rFonts w:ascii="Bookman Old Style" w:hAnsi="Bookman Old Style"/>
          <w:b/>
          <w:bCs/>
          <w:sz w:val="24"/>
          <w:szCs w:val="24"/>
        </w:rPr>
        <w:t>–</w:t>
      </w:r>
      <w:r w:rsidRPr="00987C27">
        <w:rPr>
          <w:rFonts w:ascii="Bookman Old Style" w:hAnsi="Bookman Old Style"/>
          <w:b/>
          <w:bCs/>
          <w:sz w:val="24"/>
          <w:szCs w:val="24"/>
        </w:rPr>
        <w:t xml:space="preserve"> SALUD</w:t>
      </w:r>
      <w:r w:rsidRPr="00987C27">
        <w:rPr>
          <w:rFonts w:ascii="Bookman Old Style" w:hAnsi="Bookman Old Style"/>
          <w:b/>
          <w:bCs/>
          <w:sz w:val="24"/>
          <w:szCs w:val="24"/>
        </w:rPr>
        <w:t xml:space="preserve">- </w:t>
      </w:r>
      <w:r w:rsidRPr="00987C27">
        <w:rPr>
          <w:rFonts w:ascii="Bookman Old Style" w:hAnsi="Bookman Old Style"/>
          <w:b/>
          <w:bCs/>
          <w:sz w:val="24"/>
          <w:szCs w:val="24"/>
        </w:rPr>
        <w:t>OTROS</w:t>
      </w:r>
      <w:r w:rsidRPr="00987C27">
        <w:rPr>
          <w:rFonts w:ascii="Bookman Old Style" w:hAnsi="Bookman Old Style"/>
          <w:b/>
          <w:bCs/>
          <w:sz w:val="24"/>
          <w:szCs w:val="24"/>
        </w:rPr>
        <w:t>”</w:t>
      </w:r>
    </w:p>
    <w:p w14:paraId="257F4A8E" w14:textId="77777777" w:rsidR="00987C27" w:rsidRPr="00987C27" w:rsidRDefault="00987C27" w:rsidP="00987C27">
      <w:pPr>
        <w:jc w:val="both"/>
        <w:rPr>
          <w:rFonts w:ascii="Bookman Old Style" w:hAnsi="Bookman Old Style"/>
          <w:sz w:val="24"/>
          <w:szCs w:val="24"/>
        </w:rPr>
      </w:pPr>
    </w:p>
    <w:p w14:paraId="3EB84081" w14:textId="55846796" w:rsidR="00987C27" w:rsidRPr="00987C27" w:rsidRDefault="00987C27" w:rsidP="00987C27">
      <w:pPr>
        <w:jc w:val="both"/>
        <w:rPr>
          <w:rFonts w:ascii="Bookman Old Style" w:hAnsi="Bookman Old Style"/>
          <w:sz w:val="24"/>
          <w:szCs w:val="24"/>
        </w:rPr>
      </w:pPr>
      <w:r w:rsidRPr="00987C27">
        <w:rPr>
          <w:rFonts w:ascii="Bookman Old Style" w:hAnsi="Bookman Old Style"/>
          <w:sz w:val="24"/>
          <w:szCs w:val="24"/>
        </w:rPr>
        <w:t>JUZGADO DE 1RA INSTANCIA EN LO CONTENCIOSO ADMINISTRATIVO Y TRIBUTARIO Nº 10 SECRETARÍA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N°19</w:t>
      </w:r>
    </w:p>
    <w:p w14:paraId="402F9CBD" w14:textId="53F53AFF" w:rsidR="00987C27" w:rsidRPr="00987C27" w:rsidRDefault="00987C27" w:rsidP="00987C27">
      <w:pPr>
        <w:jc w:val="both"/>
        <w:rPr>
          <w:rFonts w:ascii="Bookman Old Style" w:hAnsi="Bookman Old Style"/>
          <w:sz w:val="24"/>
          <w:szCs w:val="24"/>
        </w:rPr>
      </w:pPr>
      <w:r w:rsidRPr="00987C27">
        <w:rPr>
          <w:rFonts w:ascii="Bookman Old Style" w:hAnsi="Bookman Old Style"/>
          <w:sz w:val="24"/>
          <w:szCs w:val="24"/>
        </w:rPr>
        <w:t>Expediente Nº 4103</w:t>
      </w:r>
      <w:r w:rsidRPr="00987C27">
        <w:rPr>
          <w:rFonts w:ascii="Bookman Old Style" w:hAnsi="Bookman Old Style"/>
          <w:sz w:val="24"/>
          <w:szCs w:val="24"/>
        </w:rPr>
        <w:t>/2020-0</w:t>
      </w:r>
    </w:p>
    <w:p w14:paraId="01E53AC2" w14:textId="335BDFB2" w:rsidR="00987C27" w:rsidRPr="00987C27" w:rsidRDefault="00987C27" w:rsidP="00987C27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“Buenos Aires, 22 de junio del 2020 (…) </w:t>
      </w:r>
      <w:r w:rsidRPr="00987C27">
        <w:rPr>
          <w:rFonts w:ascii="Bookman Old Style" w:hAnsi="Bookman Old Style"/>
          <w:sz w:val="24"/>
          <w:szCs w:val="24"/>
        </w:rPr>
        <w:t>En mérito a las consideraciones vertidas, disposiciones normativas y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 xml:space="preserve">jurisprudencia citadas; RESUELVO: </w:t>
      </w:r>
      <w:r w:rsidRPr="00987C27">
        <w:rPr>
          <w:rFonts w:ascii="Bookman Old Style" w:hAnsi="Bookman Old Style"/>
          <w:b/>
          <w:bCs/>
          <w:sz w:val="24"/>
          <w:szCs w:val="24"/>
        </w:rPr>
        <w:t>1)</w:t>
      </w:r>
      <w:r w:rsidRPr="00987C27">
        <w:rPr>
          <w:rFonts w:ascii="Bookman Old Style" w:hAnsi="Bookman Old Style"/>
          <w:sz w:val="24"/>
          <w:szCs w:val="24"/>
        </w:rPr>
        <w:t xml:space="preserve"> Hacer saber la existencia del juicio a los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residentes y a quienes desarrollan tareas laborales de cualquier índole en el geriátrico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privado Residencia Sophía, situado en la Ciudad de Buenos Aires, por el plazo común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de quince (15) días hábiles judiciales, con el objeto de que puedan optar, si lo creyesen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conveniente, por presentarse en el expediente. La causa se hallará disponible a través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del sistema digital durante el lapso indicado para que aquellos que lo deseen la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consulten a efectos de tomar conocimiento de la pretensión.</w:t>
      </w:r>
      <w:r w:rsidRPr="00987C27">
        <w:rPr>
          <w:rFonts w:ascii="Bookman Old Style" w:hAnsi="Bookman Old Style"/>
          <w:sz w:val="24"/>
          <w:szCs w:val="24"/>
        </w:rPr>
        <w:t xml:space="preserve"> (…) </w:t>
      </w:r>
      <w:r w:rsidRPr="00987C27">
        <w:rPr>
          <w:rFonts w:ascii="Bookman Old Style" w:hAnsi="Bookman Old Style"/>
          <w:b/>
          <w:bCs/>
          <w:sz w:val="24"/>
          <w:szCs w:val="24"/>
        </w:rPr>
        <w:t>3)</w:t>
      </w:r>
      <w:r w:rsidRPr="00987C27">
        <w:rPr>
          <w:rFonts w:ascii="Bookman Old Style" w:hAnsi="Bookman Old Style"/>
          <w:sz w:val="24"/>
          <w:szCs w:val="24"/>
        </w:rPr>
        <w:t xml:space="preserve"> El plazo establecido en el punto 1 transcurrirá a partir del día siguiente a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 xml:space="preserve">la última publicación de edictos (cfr. art. 130, </w:t>
      </w:r>
      <w:proofErr w:type="spellStart"/>
      <w:r w:rsidRPr="00987C27">
        <w:rPr>
          <w:rFonts w:ascii="Bookman Old Style" w:hAnsi="Bookman Old Style"/>
          <w:sz w:val="24"/>
          <w:szCs w:val="24"/>
        </w:rPr>
        <w:t>CCAy</w:t>
      </w:r>
      <w:r w:rsidRPr="00987C27">
        <w:rPr>
          <w:rFonts w:ascii="Bookman Old Style" w:hAnsi="Bookman Old Style"/>
          <w:sz w:val="24"/>
          <w:szCs w:val="24"/>
        </w:rPr>
        <w:t>T</w:t>
      </w:r>
      <w:proofErr w:type="spellEnd"/>
      <w:r w:rsidRPr="00987C27">
        <w:rPr>
          <w:rFonts w:ascii="Bookman Old Style" w:hAnsi="Bookman Old Style"/>
          <w:sz w:val="24"/>
          <w:szCs w:val="24"/>
        </w:rPr>
        <w:t>).</w:t>
      </w:r>
      <w:r w:rsidRPr="00987C27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987C27">
        <w:rPr>
          <w:rFonts w:ascii="Bookman Old Style" w:hAnsi="Bookman Old Style"/>
          <w:b/>
          <w:bCs/>
          <w:sz w:val="24"/>
          <w:szCs w:val="24"/>
        </w:rPr>
        <w:t>4)</w:t>
      </w:r>
      <w:r w:rsidRPr="00987C27">
        <w:rPr>
          <w:rFonts w:ascii="Bookman Old Style" w:hAnsi="Bookman Old Style"/>
          <w:sz w:val="24"/>
          <w:szCs w:val="24"/>
        </w:rPr>
        <w:t xml:space="preserve"> Hacer saber que las eventuales presentaciones de los miembros del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colectivo serán admitidas solamente si aportan una argumentación propia —es decir,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 xml:space="preserve">que no replique la ya realizada en la </w:t>
      </w:r>
      <w:r w:rsidRPr="00987C27">
        <w:rPr>
          <w:rFonts w:ascii="Bookman Old Style" w:hAnsi="Bookman Old Style"/>
          <w:sz w:val="24"/>
          <w:szCs w:val="24"/>
        </w:rPr>
        <w:t>demanda,</w:t>
      </w:r>
      <w:r w:rsidRPr="00987C27">
        <w:rPr>
          <w:rFonts w:ascii="Bookman Old Style" w:hAnsi="Bookman Old Style"/>
          <w:sz w:val="24"/>
          <w:szCs w:val="24"/>
        </w:rPr>
        <w:t xml:space="preserve"> sino que proporcione nuevos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fundamentos, a favor o en contra de la pretensión— cuyo contenido persuada a este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estrado de que su incorporación supone una contribución sustancial al desarrollo del</w:t>
      </w:r>
      <w:r w:rsidRPr="00987C27"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proceso por su pertinencia al objeto de debate y su relevancia para la decisión del caso.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5) Líbrese oficio por Secretaría —–mediante correo electrónico—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dirigido a la Secretaría General de la Cámara de Apelaciones, para la anotación de esta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 xml:space="preserve">causa juicio en el Registro de Procesos Colectivos (cfr. acuerdo plenario </w:t>
      </w:r>
      <w:r>
        <w:rPr>
          <w:rFonts w:ascii="Bookman Old Style" w:hAnsi="Bookman Old Style"/>
          <w:sz w:val="24"/>
          <w:szCs w:val="24"/>
        </w:rPr>
        <w:t>N</w:t>
      </w:r>
      <w:r w:rsidRPr="00987C27">
        <w:rPr>
          <w:rFonts w:ascii="Bookman Old Style" w:hAnsi="Bookman Old Style"/>
          <w:sz w:val="24"/>
          <w:szCs w:val="24"/>
        </w:rPr>
        <w:t>° 4/2016,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anexo 3).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6) Teniendo en cuenta que la pretensión cautelar planteada en este juicio se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 xml:space="preserve">encuentra parcialmente comprendida en la deducida en los autos caratulados </w:t>
      </w:r>
      <w:r w:rsidRPr="00987C27">
        <w:rPr>
          <w:rFonts w:ascii="Bookman Old Style" w:hAnsi="Bookman Old Style"/>
          <w:i/>
          <w:iCs/>
          <w:sz w:val="24"/>
          <w:szCs w:val="24"/>
        </w:rPr>
        <w:t>“Geri S.A.</w:t>
      </w:r>
      <w:r w:rsidRPr="00987C27">
        <w:rPr>
          <w:rFonts w:ascii="Bookman Old Style" w:hAnsi="Bookman Old Style"/>
          <w:i/>
          <w:iCs/>
          <w:sz w:val="24"/>
          <w:szCs w:val="24"/>
        </w:rPr>
        <w:t xml:space="preserve"> </w:t>
      </w:r>
      <w:r w:rsidRPr="00987C27">
        <w:rPr>
          <w:rFonts w:ascii="Bookman Old Style" w:hAnsi="Bookman Old Style"/>
          <w:i/>
          <w:iCs/>
          <w:sz w:val="24"/>
          <w:szCs w:val="24"/>
        </w:rPr>
        <w:t>c/ GCBA s/ amparo” (</w:t>
      </w:r>
      <w:proofErr w:type="spellStart"/>
      <w:r w:rsidRPr="00987C27">
        <w:rPr>
          <w:rFonts w:ascii="Bookman Old Style" w:hAnsi="Bookman Old Style"/>
          <w:i/>
          <w:iCs/>
          <w:sz w:val="24"/>
          <w:szCs w:val="24"/>
        </w:rPr>
        <w:t>expte</w:t>
      </w:r>
      <w:proofErr w:type="spellEnd"/>
      <w:r w:rsidRPr="00987C27">
        <w:rPr>
          <w:rFonts w:ascii="Bookman Old Style" w:hAnsi="Bookman Old Style"/>
          <w:i/>
          <w:iCs/>
          <w:sz w:val="24"/>
          <w:szCs w:val="24"/>
        </w:rPr>
        <w:t xml:space="preserve">. </w:t>
      </w:r>
      <w:r w:rsidRPr="00987C27">
        <w:rPr>
          <w:rFonts w:ascii="Bookman Old Style" w:hAnsi="Bookman Old Style"/>
          <w:i/>
          <w:iCs/>
          <w:sz w:val="24"/>
          <w:szCs w:val="24"/>
        </w:rPr>
        <w:t>N</w:t>
      </w:r>
      <w:r w:rsidRPr="00987C27">
        <w:rPr>
          <w:rFonts w:ascii="Bookman Old Style" w:hAnsi="Bookman Old Style"/>
          <w:i/>
          <w:iCs/>
          <w:sz w:val="24"/>
          <w:szCs w:val="24"/>
        </w:rPr>
        <w:t>° 3801-2020),</w:t>
      </w:r>
      <w:r w:rsidRPr="00987C27">
        <w:rPr>
          <w:rFonts w:ascii="Bookman Old Style" w:hAnsi="Bookman Old Style"/>
          <w:sz w:val="24"/>
          <w:szCs w:val="24"/>
        </w:rPr>
        <w:t xml:space="preserve"> también radicados ante este estrado, que ya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fue resuelta el día 4 de junio de 2020, en esa medida corresponde estar al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pronunciamiento allí dictado. Esa decisión fue apelada por la parte actora y el recurso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987C27">
        <w:rPr>
          <w:rFonts w:ascii="Bookman Old Style" w:hAnsi="Bookman Old Style"/>
          <w:sz w:val="24"/>
          <w:szCs w:val="24"/>
        </w:rPr>
        <w:t>ha sido concedido y sustanciado</w:t>
      </w:r>
      <w:r>
        <w:rPr>
          <w:rFonts w:ascii="Bookman Old Style" w:hAnsi="Bookman Old Style"/>
          <w:sz w:val="24"/>
          <w:szCs w:val="24"/>
        </w:rPr>
        <w:t xml:space="preserve"> (…)”. Fdo. Dr. Aurelio Luis </w:t>
      </w:r>
      <w:proofErr w:type="spellStart"/>
      <w:r>
        <w:rPr>
          <w:rFonts w:ascii="Bookman Old Style" w:hAnsi="Bookman Old Style"/>
          <w:sz w:val="24"/>
          <w:szCs w:val="24"/>
        </w:rPr>
        <w:t>Ammirato</w:t>
      </w:r>
      <w:proofErr w:type="spellEnd"/>
    </w:p>
    <w:sectPr w:rsidR="00987C27" w:rsidRPr="00987C27" w:rsidSect="00AB1D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C27"/>
    <w:rsid w:val="0007234B"/>
    <w:rsid w:val="006B643A"/>
    <w:rsid w:val="00987C27"/>
    <w:rsid w:val="00AB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BAABF"/>
  <w15:chartTrackingRefBased/>
  <w15:docId w15:val="{A3E17376-C3DA-4091-B831-2C441781D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345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Florencia Romeo</dc:creator>
  <cp:keywords/>
  <dc:description/>
  <cp:lastModifiedBy>Nadia Florencia Romeo</cp:lastModifiedBy>
  <cp:revision>1</cp:revision>
  <dcterms:created xsi:type="dcterms:W3CDTF">2020-06-25T15:00:00Z</dcterms:created>
  <dcterms:modified xsi:type="dcterms:W3CDTF">2020-06-25T15:16:00Z</dcterms:modified>
</cp:coreProperties>
</file>